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Руководство пользователя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АДС-Софт: Модуль для учета на ЕПС 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Некредитных Финансовых Организациях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для 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конфигурации 1С:Зарплата и управление персоналом 8 (ред 3.х)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Москва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2018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6653" w:rsidRDefault="007D6653">
      <w:pPr>
        <w:spacing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5"/>
        <w:tblW w:w="9521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8420"/>
        <w:gridCol w:w="567"/>
      </w:tblGrid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 программном продукте…………………………………………………………….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45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Установка прикладного решения 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284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3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лицензирования конфигурации …………………………………….…..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Параметры учета………………………………………………………………….…..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23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Учетная политика …………………………………………………………………….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6171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Отражение в ЕПС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Единый план счетов ……………………………………………………………….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Группа финансового учета …………………………………………………………..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Символы ОФР ………………………………………………………………………...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18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9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отражения в регламентированном учете ………………………………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Прочие доходы и расходы…………………………………………………………….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284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11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ДМС…………………………………………………………………………………….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Шаблоны открытия лицевых счетов 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открытия лицевых счетов 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Открытие лицевых счетов 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08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Закрытие лицевых счетов 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Лицевые счета …………………………………………………………………….......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учета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Парные лицевые счета ………………………………………………………….....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Соответствие счетов СПОД 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Группы настроек ЗП в регламентированном учете ……………………………......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Группы операций по учету зарплаты………………………………………………..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Маппинг разрезов лицевых счетов 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Настройки отражения зарплаты в регламентированном учете 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 движений …………………………………………………………….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Дополнительные возможности 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Отражение зарплаты в регламентированном учете 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327"/>
              </w:tabs>
              <w:spacing w:after="100" w:line="256" w:lineRule="auto"/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22</w:t>
            </w:r>
          </w:p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Закрытие отпусков авансов…………………………………………………………..</w:t>
            </w:r>
          </w:p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Мемориальный ордер …………………………………………………………….......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Регламентная операция ………………………………………………………………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Отчеты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8B3A04">
            <w:pPr>
              <w:tabs>
                <w:tab w:val="center" w:pos="229"/>
              </w:tabs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1.Карточка счета …………………………………………………………...………...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2.Оборотно-сальдовая ведомость …………………………………………………..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140"/>
              </w:tabs>
              <w:spacing w:after="100" w:line="256" w:lineRule="auto"/>
              <w:ind w:left="-108"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3.Оборотно-сальдовая ведомость по счету …………………………...…………….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8B3A04"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26</w:t>
            </w:r>
          </w:p>
        </w:tc>
        <w:tc>
          <w:tcPr>
            <w:tcW w:w="8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tabs>
                <w:tab w:val="left" w:pos="1140"/>
              </w:tabs>
              <w:spacing w:after="100" w:line="256" w:lineRule="auto"/>
              <w:ind w:right="-14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Обмен данными……………………………………………………………………...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B3A04" w:rsidRDefault="00437752">
            <w:pPr>
              <w:spacing w:after="100" w:line="256" w:lineRule="auto"/>
              <w:ind w:left="-108"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</w:tbl>
    <w:p w:rsidR="008B3A04" w:rsidRDefault="008B3A04" w:rsidP="007D6653">
      <w:pPr>
        <w:spacing w:after="1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программном продукте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для Некредитных Финансовых Организаций предназначен для работы с программой 1С:Зарплата и Управление Персоналом и расширяет ее возможности, позволяя вести учет зарплаты согласно ОСБУ Центрального Банка РФ:</w:t>
      </w:r>
    </w:p>
    <w:p w:rsidR="008B3A04" w:rsidRDefault="00437752">
      <w:pPr>
        <w:widowControl w:val="0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Отраслевой стандарт бухгалтерского учета вознаграждений работникам НФО (утв. Банком России 04.09.2015 N 489-П)</w:t>
      </w:r>
    </w:p>
    <w:p w:rsidR="008B3A04" w:rsidRDefault="008B3A0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Отраслевой стандарт бухгалтерского учета резервов – оценочных обязательств и условных обязательств НФО (утв. Банком России 03.12.2015 N 508-П)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Программный продукт автоматизирует учет на едином плане счетов, согласно требованиям Центрального Банка РФ.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счетов учета второго порядка разработан механизм генерации лицевых счетов по заданным комбинациям аналитики.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генерации лицевого счета необходимо: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настроить Шаблон открытия лицевого счета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открытия лицевых счетов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создать Группу финансового учета или Символ ОФР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отражения в учете</w:t>
      </w:r>
    </w:p>
    <w:p w:rsidR="008B3A04" w:rsidRDefault="00437752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сгенерировать лицевой счет при помощи документа «Открытие лицевых счетов»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Программный продукт обладает гибкой системой настроек и отборов для установки правил автоматического формирования движений по Единому плану счетов.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настройки системы требуется: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Учетную политику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требуется - установить настройки «Маппинг разрезов лицевых счетов»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требуется - сгруппировать виды операций по зарплате при помощи механизма «Группы операций по учету зарплаты»</w:t>
      </w:r>
    </w:p>
    <w:p w:rsidR="008B3A04" w:rsidRDefault="0043775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установить Настройки отражения зарплаты в регламентированном учете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открытия лицевых счетов и установки настроек отражения зарплаты в регламентированном учете движения в системе формируются автоматически, дополнительных действий пользователя для работы с модулем для НФО не требуется.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br w:type="page"/>
      </w:r>
    </w:p>
    <w:p w:rsidR="008B3A04" w:rsidRDefault="00437752">
      <w:pPr>
        <w:spacing w:after="3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Установка прикладного решения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Если для учета зарплаты Вы уже используете конфигурацию 1С:ЗУП 3.х, обратитесь в службу технической поддержки АДС-Софт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support@ads-soft.ru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для установки модуля на существующую базу без переноса данных!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Дистрибутив конфигурации «Зарплата и управление персоналом для некредитной финансовой организации» поставляется на флешке.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шаблонов выполняется с помощью специальной программы установки.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установки прикладного решения с флешки необходимо выполнить следующие действия: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Вставить флешку в USB-разъем.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программу setup.exe.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экран будет выведено стартовое меню. Нажмите «Далее».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743450" cy="3657600"/>
            <wp:effectExtent l="0" t="0" r="0" b="0"/>
            <wp:docPr id="6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этого необходимо указать путь, куда будет установлен щаблон конфигурации: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743450" cy="3629025"/>
            <wp:effectExtent l="0" t="0" r="0" b="0"/>
            <wp:docPr id="6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2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нажатия «Далее», выполняется установка шаблонов конфигурации.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окончании установки конфигурации появится окно: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743450" cy="3619500"/>
            <wp:effectExtent l="0" t="0" r="0" b="0"/>
            <wp:docPr id="6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Нажмите «Готово».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Запускаем «1С:Предприятие 8.3». Добавляем информационную базу данных, нужно нажать «Добавить».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Затем выбрать одно из двух предложенных значений «Создание новой информационной базы», «Добавление в список существующей информационной базы»: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371975" cy="4200525"/>
            <wp:effectExtent l="0" t="0" r="0" b="0"/>
            <wp:docPr id="7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Выбираем «Создание новой информационной базы» и нажимаем «Далее».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352925" cy="4257675"/>
            <wp:effectExtent l="0" t="0" r="0" b="0"/>
            <wp:docPr id="6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Выбираем наименование информационной базы и место, где она будет установлена: «На данном компьютере».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Указываем каталог информационной базы.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Настраиваем параметры запуска конфигурации.</w:t>
      </w:r>
    </w:p>
    <w:p w:rsidR="008B3A04" w:rsidRDefault="00437752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выбираем информационную базу.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конфигурации завершена.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Настройки лицензирования конфигурации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лицензиpoвания – это набор аппаратных (ключи защиты) и / или программных (сервер лицензирования) средств, совокупность которых позволяет ограничить нелицензионное использование программного продукта. Для pабoты решения необходимо взаимодeйствие сервера лицeнзирования и ключа защиты.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Лицензионные ограничения на использование программного продукта задаются в ключе защиты.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Возможны два вида ключей защиты: аппаратные и программные.</w:t>
      </w:r>
    </w:p>
    <w:p w:rsidR="008B3A04" w:rsidRDefault="00437752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Аппаратные ключи 1С:СЛК выполнены в форм-факторе и по технологии USB. На каждом ключе имеется наклейка, которая содержит следующую информацию:</w:t>
      </w:r>
    </w:p>
    <w:p w:rsidR="008B3A04" w:rsidRDefault="0043775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назначение решения, для которого предназначен ключ;</w:t>
      </w:r>
    </w:p>
    <w:p w:rsidR="008B3A04" w:rsidRDefault="00437752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0"/>
        </w:tabs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уникальный номер (s/n) ключа защиты и его штрих-код.</w:t>
      </w:r>
    </w:p>
    <w:p w:rsidR="008B3A04" w:rsidRDefault="008B3A04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Програмный ключ требует активации для своего создания. Процесс активации создает программный ключ в конкретном сервере лицензирования. В результате активации программный ключ привязывается к уникальным аппаратным параметрам компьютера, на котором запущен сервер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всегда использует программу «Сервер лицензирования». Связь между компонентной защитой и сервером лицензирования осуществляется по протоколу TCP/IP. По умолчанию «Сервер лицензирования» использует порт 15201 для веб-сервера управления и 15200 для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лицензирования состоит из трех частей: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Компонент защиты. Он загружается в рамках серверного контекста конфигурации. Для получения лицензии на работу компонента защиты подключается по протоколу TCP/IP ко второй части системы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Сервер лицензирования. Он представляет собой службу Windows, установленную на том же компьютере, на котором запускается приложение, или на любом компьютере в рамках сети. В свою очередь сервер лицензирования обращается к третьей части системы лицензирования.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Ключ защиты, должен быть установлен на том же компьютере, что и сервер лицензирования, для того чтобы найти нужный для работы программы ключ. Если такой ключ будет найден, то сервер лицензирования выдаст компоненту защиты лицензию на работу (при условии, что в ключе есть свободные лицензии).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установки системы лицензирования используется файл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LicenceServer-2.1.6.430-Setup.exe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папке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Protection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комплекта поставки решения.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Примечание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решение может работать на терминальном сервере без каких-либо дополнительных настроек. В этом случае программа «Сервер лицензирования» может быть установлена как на сам терминальный сервер, так и на любой другой компьютер в сети терминального сервера. Необходимо, чтобы компьютер, на который установлен сервер лицензирования был включен и доступен на протяжении всей работы программы на терминальном сервере.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 лицензирования доступна для платформ Windowsx86 и x86_64, т.е. работа защищенного решения в серверном режиме возможна только на сервере 1С-Предприятия под указанными платформами.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настройке параметров защиты смена экранов настройки управляется стандартными кнопками: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«Далее» - переход к следующему экрану мастера (после того, как выполнены требуемые действия).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«Назад» - переход к предыдущему экрану мастера для исправления ранее принятых решений.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«Отмена» - прекращение установки (после подтверждения).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разделе «Настройки лицензирования» есть возможность настроить параметры связи с сервером лицензирования, указав адрес сервера СЛК и порт для связи, согласно форматной строке.</w:t>
      </w:r>
    </w:p>
    <w:p w:rsidR="008B3A04" w:rsidRDefault="008B3A04">
      <w:pPr>
        <w:spacing w:after="3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1783911"/>
            <wp:effectExtent l="0" t="0" r="0" b="0"/>
            <wp:docPr id="7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Рисунок 6.</w:t>
      </w:r>
    </w:p>
    <w:p w:rsidR="008B3A04" w:rsidRDefault="008B3A04">
      <w:pPr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Параметры учета</w:t>
      </w:r>
    </w:p>
    <w:p w:rsidR="008B3A04" w:rsidRDefault="0043775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предназначена для установки параметров ведения учета, которые являются общими для всех организаций информационной базы.</w:t>
      </w:r>
    </w:p>
    <w:p w:rsidR="008B3A04" w:rsidRDefault="0043775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821550"/>
            <wp:effectExtent l="0" t="0" r="0" b="0"/>
            <wp:docPr id="7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82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Рисунок 7.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Учетная политика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Каждая некредитная финансовая организация в момент создания разрабатывает и затем ежегодно утверждает учетную политику. Для определения параметров учетной политики предназначен регистр «Учетная политика НФО»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Его необходимо заполнить до начала ведения учета на определенный период (год).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4582" cy="3343501"/>
            <wp:effectExtent l="0" t="0" r="0" b="0"/>
            <wp:docPr id="74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582" cy="3343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Рисунок 8.     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учетной политике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указываем основные параметры ведения </w:t>
      </w:r>
      <w:r>
        <w:rPr>
          <w:rFonts w:ascii="Times New Roman" w:eastAsia="Times New Roman" w:hAnsi="Times New Roman" w:cs="Times New Roman"/>
          <w:sz w:val="24"/>
          <w:szCs w:val="24"/>
        </w:rPr>
        <w:t>учета на первом или втором уровне.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Первый уровень учета (более сложный) - ведение учета в разрезе каждого вида операции.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Второй уровень учета – ведение по видам вознаграждений согласно классификации, представленной в положении 489-П: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краткосрочные вознаграждения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долгосрочные вознаграждения в связи с окончанием трудовой деятельности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прочие долгосрочные вознаграждения</w:t>
      </w:r>
    </w:p>
    <w:p w:rsidR="008B3A04" w:rsidRDefault="00437752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выходные пособия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выбора первого варианта ведения учета: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сотрудника нужно будет открыть лицевые счета: с видом операции Начислено, для операций по отпускам, с видом операции Ежегодный отпуск и т.д. На одного сотрудника будет больше одного лицевого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бухгалтерской программе выгружаются данные в разрезе групп видов вознаграждений.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81137" cy="2954020"/>
            <wp:effectExtent l="0" t="0" r="0" b="0"/>
            <wp:docPr id="7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137" cy="295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Рисунок 9.</w:t>
      </w:r>
    </w:p>
    <w:p w:rsidR="008B3A04" w:rsidRDefault="008B3A04">
      <w:pPr>
        <w:tabs>
          <w:tab w:val="left" w:pos="4207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Закладка “Политика учета НДФЛ и удержаний сотрудников”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тем, что учет вознаграждений ведется в системе разреза сотрудников, а учет          НДФЛ в разрезе физических лиц, требуется настройка распределения НДФЛ.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два варианта учетной политики: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НДФЛ пропорционально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НДФЛ будет разнесена пропорционально видам начисления либо видов вознаграждений; (используется если на одно физическое лицо приходится два сотрудника) В ЗУП учет НДФЛ ведется в разрезе физических лиц, если открыть лиц счета в разрезе сотрудников, то сумму НДФЛ по физическому лицу необходимо разбить между двумя 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счетами.</w:t>
      </w:r>
    </w:p>
    <w:p w:rsidR="008B3A04" w:rsidRDefault="00437752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Ручная настройка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Если не ведется пропорциональный учет и на одно физическое лицо открывается несколько лиц счетов, в табличной части можно указать на какой из лицевых счетов отправлять всю сумму НДФЛ. пользователь вручную определяет по одному лицевому счету на каждого сотрудника для учета удержания НДФЛ.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открытия и подбора лицевых счетов: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spacing w:after="0"/>
        <w:ind w:firstLine="567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Учет по подразделениям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лицевые счета для счетов учета доходов и расходов открываются в разрезе подразделений.</w:t>
      </w:r>
    </w:p>
    <w:p w:rsidR="008B3A04" w:rsidRDefault="008B3A0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НДФЛ в разрезе ИФНС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лицевые счета на счетах учета НДФЛ открываются в разрезе ИФНС.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НДФЛ по подразделениям - </w:t>
      </w:r>
      <w:r>
        <w:rPr>
          <w:rFonts w:ascii="Times New Roman" w:eastAsia="Times New Roman" w:hAnsi="Times New Roman" w:cs="Times New Roman"/>
          <w:sz w:val="24"/>
          <w:szCs w:val="24"/>
        </w:rPr>
        <w:t>лицевые счета на счетах учета НДФЛ открываются в разрезе подразделений.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Страховые взносы в НУ - </w:t>
      </w:r>
      <w:r>
        <w:rPr>
          <w:rFonts w:ascii="Times New Roman" w:eastAsia="Times New Roman" w:hAnsi="Times New Roman" w:cs="Times New Roman"/>
          <w:sz w:val="24"/>
          <w:szCs w:val="24"/>
        </w:rPr>
        <w:t>Учет страховых взносов для целей налогового учета принимаются со всех начислений.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4583" cy="2036445"/>
            <wp:effectExtent l="0" t="0" r="0" b="0"/>
            <wp:docPr id="15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583" cy="203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Рисунок 10.</w:t>
      </w:r>
    </w:p>
    <w:p w:rsidR="008B3A04" w:rsidRDefault="008B3A04">
      <w:pPr>
        <w:tabs>
          <w:tab w:val="left" w:pos="3318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8B3A04" w:rsidRDefault="00437752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Закладка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Настройки учета оценочных обязательств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указать:</w:t>
      </w:r>
    </w:p>
    <w:p w:rsidR="008B3A04" w:rsidRDefault="00437752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начисления резерва, раз в квартал или раз месяц.</w:t>
      </w:r>
    </w:p>
    <w:p w:rsidR="008B3A04" w:rsidRDefault="00437752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 авансов</w:t>
      </w: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Авансы отпусков начислять за счет затрат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не использовать счета учета авансов отпусков.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Признавать расходы на отпуск в 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Если не ведется учет расходов на оценочные обязательства в НУ, можно признать расходы на оплату отпуска за счет резерва, сформировав проводку рекласса.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0" w:after="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Компенсацию отпуска начислять за счет затрат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компенсация при увольнении начисляется за счет затрат организации, а не за счет резерва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B3A04" w:rsidRDefault="008B3A0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Не начислять компенсацию авансом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не использовать счета учета авансов отпусков при начислении компенсации при увольнении.</w:t>
      </w:r>
    </w:p>
    <w:p w:rsidR="008B3A04" w:rsidRDefault="008B3A04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8B3A04" w:rsidRDefault="008B3A04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Восстановление резерва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Восстанавливать резерв на счета 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проводка по восстановлению резерва формируется на счета расходов организации (обратная проводка). 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firstLine="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firstLine="5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Сторнирующая проводка по восстановлению резерва</w:t>
      </w:r>
      <w:r>
        <w:rPr>
          <w:rFonts w:ascii="Times New Roman" w:eastAsia="Times New Roman" w:hAnsi="Times New Roman" w:cs="Times New Roman"/>
          <w:sz w:val="24"/>
          <w:szCs w:val="24"/>
        </w:rPr>
        <w:t>: при восстановлении резерва формируется сторнирующая проводка на счета расходов организации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0238" cy="1440196"/>
            <wp:effectExtent l="0" t="0" r="0" b="0"/>
            <wp:docPr id="7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1440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Настройка генерации лицевых счетов</w:t>
      </w:r>
      <w:r>
        <w:rPr>
          <w:rFonts w:ascii="Times New Roman" w:eastAsia="Times New Roman" w:hAnsi="Times New Roman" w:cs="Times New Roman"/>
          <w:sz w:val="24"/>
          <w:szCs w:val="24"/>
        </w:rPr>
        <w:t>: В этой настойке по желанию можно указать, как будут генерироваться лицевые счета автоматически при приеме сотрудника на работу либо по заключению договора ГПХ, или нет.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Указав шаблон и Группу Финансового Учета по которым будут формироваться лицевые счета, и для лицевых счетов для учета Вознаграждения сотрудников Указываем либо группу, либо вид операции.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Варианта маппинга №1- вид операции.</w:t>
      </w:r>
    </w:p>
    <w:p w:rsidR="008B3A04" w:rsidRPr="007D6653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Вариант маппинга №2 - сводные группы.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3963" cy="787847"/>
            <wp:effectExtent l="0" t="0" r="0" b="0"/>
            <wp:docPr id="7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963" cy="787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Закладка “Политика обмена с бухгалтерской программой”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определяются настройки, влияющие на состав выгружаемых данных в бухгалтерскую программу.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Используют сводные счета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флаг устанавливается, если в системе ведется учет на 2 уровнях детализации или данные по сотрудникам выгружаются сводно.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Вести учет по сотрудникам в бухгалтерской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устанавливается, если данные выгружаются в бухгалтерскую программу в разрезе сотрудников.</w:t>
      </w:r>
    </w:p>
    <w:p w:rsidR="008B3A04" w:rsidRDefault="008B3A04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A04" w:rsidRDefault="004377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Открывается лицевые счета на каждого сотрудника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флаг устанавливается, если ведется учет на двух уровнях детализации, необходимо открывать сводные счета в разрезе каждого сотрудника.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Pr="00437752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4297" cy="3363595"/>
            <wp:effectExtent l="0" t="0" r="0" b="0"/>
            <wp:docPr id="77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297" cy="336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Рисунок 13.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Закладка Настройка счетов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задать собственные настройки пар счетов учета для отражения операции расчетов с персоналом.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Отражение в ЕПС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Единый план счетов.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Единый план счетов содержит счета для учета заработной платы.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583" cy="2682240"/>
            <wp:effectExtent l="0" t="0" r="0" b="0"/>
            <wp:docPr id="7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583" cy="268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14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Карточка счета представлена на рисунке 15. Функционал позволяет настроить: субконто, учет подразделений, вид счета.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443638" cy="4289180"/>
            <wp:effectExtent l="0" t="0" r="0" b="0"/>
            <wp:docPr id="7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638" cy="428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Код быстрого выбора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используется при поиске счета для подстановки в отчеты и документы.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является группой и не используется в проводках - позволяет создавать субсчета данного счета. После включения опции данный счет будет являться группой. Группы счетов в проводках использовать нельзя.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Вид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позволяет установить вид счета в соответствии с делением бухгалтерского баланса;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Учет по подразделениям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признак ведения учета в разрезе подразделений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Валютный учет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признак ведения валютного учета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Аналитика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позволяет настроить виды субконто, в разрезе которых будет вестись учет на данном счете;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Идентификатор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системное поле;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Исключить из обновления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свойства данного счета не будут обновляться при обновлении плана счетов.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Изменение свойств для счетов, которые ранее использовались в проводках может повлечь за собой ошибки в ведении учета!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позволяет отменить изменения и вернуть план счетов к предопределенному виду, для этого необходимо выбрать вкладку «Ещё» - «Обновить план счетов».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0685" cy="3191510"/>
            <wp:effectExtent l="0" t="0" r="0" b="0"/>
            <wp:docPr id="8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685" cy="319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16.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Добавлена возможность печати плана счетов: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913765"/>
            <wp:effectExtent l="0" t="0" r="0" b="0"/>
            <wp:docPr id="8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913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17.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Макет печати отображен на Рисунке 18.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2119" cy="4072890"/>
            <wp:effectExtent l="0" t="0" r="0" b="0"/>
            <wp:docPr id="82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19" cy="407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18.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рисунке представлены виды аналитик, в разрезе которых могут быть открыты лицевые счета.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4750" cy="2050415"/>
            <wp:effectExtent l="0" t="0" r="0" b="0"/>
            <wp:docPr id="83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750" cy="205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19.</w:t>
      </w:r>
    </w:p>
    <w:p w:rsidR="008B3A04" w:rsidRDefault="008B3A0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Группа финансового учета</w:t>
      </w:r>
    </w:p>
    <w:p w:rsidR="008B3A04" w:rsidRDefault="00437752">
      <w:pPr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Группа финансового учета расчетов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применяются для классификации объектов по правилам отражения в учете.</w:t>
      </w:r>
    </w:p>
    <w:p w:rsidR="008B3A04" w:rsidRDefault="008B3A04">
      <w:pPr>
        <w:spacing w:after="10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5888" cy="2084981"/>
            <wp:effectExtent l="0" t="0" r="0" b="0"/>
            <wp:docPr id="8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888" cy="2084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20.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карточке Группы финансового учета указываются виды счетов учета, которые будут использоваться для учета расчетов.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каждой группы финансового учета заполняются виды счетов: счет учета, счет учета активный парный, счет учета пассивный парный.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957583" cy="3012754"/>
            <wp:effectExtent l="0" t="0" r="0" b="0"/>
            <wp:docPr id="56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583" cy="301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Связь Группы Финансового Учета и Счета Учета устанавливается в регистре «Настройки отражения в регламентированном учете».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0643" cy="1018452"/>
            <wp:effectExtent l="0" t="0" r="0" b="0"/>
            <wp:docPr id="5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1018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22.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регистра будут использованы при открытии новых счетов аналитического учета в документе Открытие счетов аналитического учета.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Символы ОФР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Символы отчета о финансовых результатах </w:t>
      </w:r>
      <w:r>
        <w:rPr>
          <w:rFonts w:ascii="Times New Roman" w:eastAsia="Times New Roman" w:hAnsi="Times New Roman" w:cs="Times New Roman"/>
          <w:sz w:val="24"/>
          <w:szCs w:val="24"/>
        </w:rPr>
        <w:t>позволяют настроить отражение бухгалтерских операций в отчете о Финансовых результатах.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3709" cy="1930400"/>
            <wp:effectExtent l="0" t="0" r="0" b="0"/>
            <wp:docPr id="5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709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бы заполнить символы ОФР нужно нажать на клавишу «Создать» - «Подобрать элемент из классификатора» выбрать нужный вид.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038475" cy="2628192"/>
            <wp:effectExtent l="0" t="0" r="0" b="0"/>
            <wp:docPr id="59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28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Откроется «Подбор из классификатора вида доходов / расходов», выбрать «Загрузить все статьи».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карточке символа отчета о финансовых результатах указываются виды счетов учета, которые будут использоваться для учета расчетов.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605838" cy="3017735"/>
            <wp:effectExtent l="0" t="0" r="0" b="0"/>
            <wp:docPr id="6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838" cy="301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описании заполняется наименование статьи. Вкладка «Виды счетов» не заполняется.</w:t>
      </w:r>
    </w:p>
    <w:p w:rsidR="008B3A04" w:rsidRDefault="008B3A0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отражения в регламентированном учете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каждой группы финансового учета и вида счета учета определяется балансовый счет второго порядка.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регистра будут использованы при открытии новых счетов аналитического учета в документе Открытие счетов аналитического учета.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9648" cy="3175000"/>
            <wp:effectExtent l="0" t="0" r="0" b="0"/>
            <wp:docPr id="6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648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26. 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Прочие доходы и расходы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90628" cy="1514995"/>
            <wp:effectExtent l="0" t="0" r="0" b="0"/>
            <wp:docPr id="62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628" cy="151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Рисунок 27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Справочник предназначен для хранения списка статей доходов и расходов 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вводе сведений о доходах и расходах указывается: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Вид прочих доходов и расходов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> для классификации прочих доходов и расходов для целей бухгалтерской и налоговой отчетности.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Порядок отнесения доходов и расходов к деятельности организации: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порядок (По деятельности с основной системой налогообложения), 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Особый порядок (По отдельным видам деятельности с особым порядком налогообложения), 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Распределяемые (По разным видам деятельности);</w:t>
      </w:r>
    </w:p>
    <w:p w:rsidR="008B3A04" w:rsidRDefault="00437752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Флажок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Принятие к 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устанавливается, если доходы или расходы включаются в налоговую базу по налогу на прибыль. Рисунок 28</w:t>
      </w:r>
    </w:p>
    <w:p w:rsidR="008B3A04" w:rsidRDefault="008B3A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4392819" cy="2636882"/>
            <wp:effectExtent l="0" t="0" r="0" b="0"/>
            <wp:docPr id="6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819" cy="2636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28</w:t>
      </w:r>
    </w:p>
    <w:p w:rsidR="008B3A04" w:rsidRDefault="0043775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расходов и доходов в карточку Прочие доходы и расходы выбирается непосредственно из справочника Символов ОФР (см Рисунок 23)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Согласно п. 16 ст. 255 НК РФ суммы взносов работодателей по договорам добровольного страхования, заключенным в пользу работников со страховыми организациями, относятся к расходам на оплату труда. Этой нормой определены условия, при соблюдении которых расходы будут признаваться при исчислении налога на прибыль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 медицинского страхования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Начать использование функциональности учета добровольного медицинского страхования необходимо с регистрации всех программ страхования и дополнительных услуг к ним, указав величину страховых премий для сотрудника.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5584000" cy="695029"/>
            <wp:effectExtent l="0" t="0" r="0" b="0"/>
            <wp:docPr id="6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000" cy="69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29.</w:t>
      </w:r>
    </w:p>
    <w:p w:rsidR="008B3A04" w:rsidRPr="00437752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2989159" cy="1837647"/>
            <wp:effectExtent l="0" t="0" r="0" b="0"/>
            <wp:docPr id="65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159" cy="183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en-US"/>
        </w:rPr>
        <w:t>0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30.</w:t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3058707" cy="1959949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707" cy="1959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Рисунок 31.</w:t>
      </w:r>
    </w:p>
    <w:p w:rsidR="008B3A04" w:rsidRDefault="008B3A04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Прикрепление к программам медицинского страхования</w:t>
      </w:r>
    </w:p>
    <w:p w:rsidR="008B3A04" w:rsidRDefault="00437752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 </w:t>
      </w:r>
      <w:r w:rsidR="00EA3E7A">
        <w:rPr>
          <w:rFonts w:ascii="Times New Roman" w:eastAsia="Times New Roman" w:hAnsi="Times New Roman" w:cs="Times New Roman"/>
          <w:sz w:val="24"/>
          <w:szCs w:val="24"/>
        </w:rPr>
        <w:t>выполняет прикрепление к програм</w:t>
      </w:r>
      <w:r>
        <w:rPr>
          <w:rFonts w:ascii="Times New Roman" w:eastAsia="Times New Roman" w:hAnsi="Times New Roman" w:cs="Times New Roman"/>
          <w:sz w:val="24"/>
          <w:szCs w:val="24"/>
        </w:rPr>
        <w:t>мам, работников с учетом выбранных ими услуг.</w:t>
      </w:r>
    </w:p>
    <w:p w:rsidR="008B3A04" w:rsidRDefault="00437752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8059" cy="882266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882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32.</w:t>
      </w:r>
    </w:p>
    <w:p w:rsidR="008B3A04" w:rsidRDefault="008B3A0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Начисление 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Производится Начисление страховой премии по добровольному медицинскому страхованию.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>
            <wp:extent cx="5555125" cy="1350121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125" cy="1350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33.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Расходы 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формирует проводки по признанию расходов организации на ДМС.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может быть введен (и заполнен) на основании документа Начисление ДМС</w:t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348476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348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34.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Зачет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Свертка обязательств по ДМС. 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свертка не проводилась документом Зачет ДМС, то она будет выполнена при формировании регламентной операции Свертка парных.</w:t>
      </w:r>
    </w:p>
    <w:p w:rsidR="008B3A04" w:rsidRDefault="008B3A0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649267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649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Рисунок 35.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Выплаты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Отчет Основной по выплатам  ДМС при наступлении страхового случая.</w:t>
      </w:r>
    </w:p>
    <w:p w:rsidR="008B3A04" w:rsidRDefault="008B3A0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690958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690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36.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Учет ДМС</w:t>
      </w:r>
    </w:p>
    <w:p w:rsidR="008B3A04" w:rsidRDefault="00437752">
      <w:pPr>
        <w:spacing w:after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Отчет Основной по Учету ДМС  - конечный остаток страховой премии.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473225"/>
            <wp:effectExtent l="0" t="0" r="0" b="0"/>
            <wp:docPr id="2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47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37.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Шаблоны открытия лицевых счетов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возможности автоматической генерации номеров и наименований лицевых счетов требуется задать правила их создания.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7768" cy="2247900"/>
            <wp:effectExtent l="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768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38.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регистрации новых шаблонов открытия счетов аналитического учета требуется добавить новый элемент справочника по кнопке Создать.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7770" cy="2857196"/>
            <wp:effectExtent l="0" t="0" r="0" b="0"/>
            <wp:docPr id="2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770" cy="2857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39.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открывшейся форме необходимо заполнить следующие данные: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– указывается наименование шаблона открытия;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аналитики – необходимо выбрать показатель из справочника аналитик единого плана счетов, от значения которого будет зависеть значение символа маски;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Флажок «Заполнение обязательно» - при генерации лицевого счета система проверяет заполнение значения аналитики данного вида. 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847843" cy="4152748"/>
            <wp:effectExtent l="0" t="0" r="0" b="0"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843" cy="4152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40.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поле Маска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указать структуру лицевого счета с помощью предопределенных и пользовательских символов. Номер лицевого счета может содержать до 25 символов.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разрядах 1- 8 обязательно указываются реквизиты номера счета, предусмотренные схемой нумерации лицевых счетов. Для их обозначения необходимо использовать предопределенные символы маски счета: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балансовый счет второго порядка (разряды 1 – 5);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код валюты (разряды 6 – 8);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символ доверительного управления;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порядковый номер.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символы заполняются по умолчанию при генерации номера счета аналитического учета и не требуют дополнительного описания.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Маска наименования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описывается при помощи встроенного языка «1С Предприятие».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Один шаблон открытия может быть использован для настройки открытия лицевых счетов по разным балансовым счетам второго порядка.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Нумерация каждого лицевого счета осуществляется по формуле: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«Балансовый счет второго порядка» + «Шаблон открытия лицевых счетов».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 чтобы изменить символы и отредактировать маску счета вручную нужно разрешить редактирование реквизитов.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478828" cy="3908580"/>
            <wp:effectExtent l="0" t="0" r="0" b="0"/>
            <wp:docPr id="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828" cy="390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Далее, чтобы редактировать символы, нужно выбрать символ и нажать на клавишу Настройки.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два способа назначения правила кодирования символа - по видам аналитики и формулой.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способ кодирования формулой на примере символа СС.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4784929" cy="3348262"/>
            <wp:effectExtent l="0" t="0" r="0" b="0"/>
            <wp:docPr id="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929" cy="3348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заполнить формулу нужно открыть конструктор формул.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описания формул используются стандартные функции языка 1С. Наиболее часто используемые функции добавлены в раздел «Функции языка 1С».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Доступные реквизиты аналитики добавлены в разделе «Доступные поля».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Для переноса значения в формулу в конструкторе нужно выбрать подходящие комбинации из «Функции языка 1С» и «Доступные поля» и кликнуть дважды по нему.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перечни можно развернуть, нажав на кнопку плюс.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программы позволяет проверить формулу. Если она верна, то внизу появится сообщение о том, что ошибок не обнаружено. Если допущена ошибка, появится сообщение с её описанием.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8692" cy="3060700"/>
            <wp:effectExtent l="0" t="0" r="0" b="0"/>
            <wp:docPr id="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692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43.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способ кодирования по видам аналитики на примере символов ТТ.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поле Вид аналитики необходимо выбрать показатель, от значения которого будет зависеть значение символа маски.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5888" cy="2936916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888" cy="2936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Связь шаблона и счетов учета устанавливается в регистре «Настройки открытия счетов аналитического учета».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9727" cy="245413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27" cy="2454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открытия лицевых счетов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автоматической генерации счета аналитического учета для каждого балансового счета второго порядка в пользовательском режиме определяется соответствие комбинациям счетов второго порядка, валюты и финансовых аналитик.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Настройка открытия счетов осуществляется в несколько этапов: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групп финансового учета;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отражения в регламентированном учете;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настройка параметров открытия счетов аналитического учета;</w:t>
      </w:r>
    </w:p>
    <w:p w:rsidR="008B3A04" w:rsidRDefault="00437752">
      <w:pPr>
        <w:numPr>
          <w:ilvl w:val="0"/>
          <w:numId w:val="11"/>
        </w:numPr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привязка параметров открытия лицевого счета к балансовому счету.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выполнения данных настроек счета аналитического учета будут генерироваться при записи документа Открытие счетов аналитического учета.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7768" cy="2981939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768" cy="2981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46.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Открытие лицевых счетов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открытие лицевых счетов фиксирует факт открытия лицевого счета и позволяет запустить механизмы автоматической генерации наименования и номера счета.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3910" cy="2347842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910" cy="2347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47.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 документа выполняется: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связей между лицевыми счетами и видами аналитики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установка комбинаций парных лицевых счетов</w:t>
      </w:r>
    </w:p>
    <w:p w:rsidR="008B3A04" w:rsidRDefault="00437752">
      <w:pPr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соответствия счетов СПОД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 проведенного документа “Открытие лицевых счетов” лицевой счет не может быть использован в проводках.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Для открытия лицевого счета, необходимо указать следующие данные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- организация, для которой будет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Подразделение - подразделение, для которого будет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 доверительного управления - реквизит используется для кодирования обязательных символов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Валюта - реквизит используется для кодирования обязательных символов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- развернутое описание лицевых счетов;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финансового учета - может быть указана группа финансового учета или символ OФР.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настройке отражения в регламентированном учете заполняется табличная часть и подбирается шаблон открытия лицевых счетов.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Табличная часть «Лицевые счета»: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Счет аналитического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генерируется по указанным параметрам и согласно шаблону открытия, при проведении документа;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Наименование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генерируется по указанным параметрам и согласно шаблону открытия, при проведении документа;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 счета учета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вид счета учета, предусмотренный для группы финансового учета;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 аналитики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вид дополнительной аналитики, предусмотренный в шаблоне открытия лицевых счетов.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заполняется комбинация аналитик для которой открывается лицевой счет;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Шаблон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выбирается автоматически или может быть указан вручную, исходя из выбранных счетов учета;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Флажок «Выгружается в БП»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признак того, что движения по данному счету будут выгружаться в бухгалтерскую программу.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36476" cy="1550035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476" cy="155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48.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одного набора аналитик может быть открыт только один лицевой счет.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86376" cy="695325"/>
            <wp:effectExtent l="0" t="0" r="0" b="0"/>
            <wp:docPr id="1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376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49.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Закрытие лицевых счетов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Табличная часть заполняется лицевыми счетами, по которым больше не будут выполняться операции.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 закрыть только те лицевые счета, по которым нет остатка на дату закрытия.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счета парные, нужно указать оба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2941894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2941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50.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вкладке Настройки можно разрешить или запретить повторное использование номера счета, также можно задать период оборотов в днях.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471295"/>
            <wp:effectExtent l="0" t="0" r="0" b="0"/>
            <wp:docPr id="3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47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Функционал программы позволяет осуществить редактирование уже имеющихся лицевых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 применяется к карточке шаблоны открытия лицевых счетов, документы открытия/закрытия лицевых счетов.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1524635"/>
            <wp:effectExtent l="0" t="0" r="0" b="0"/>
            <wp:docPr id="3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152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52.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Лицевые счета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любой операции (приема сотрудника на работу, НДФЛ, расчеты по резервам и оценочным обязательствам, расчеты с персоналом и пр.) требуется открытие или использование уже имеющихся лицевых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Лицевой счет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учетная аналитическая единица, открывается на совокупность аналитических единиц к счету второго порядка единого плана счетов.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открытия лицевых счетов нужно нажать на вкладку «Отражение в ЕПС» - «Лицевые счета» - «Открытие лицевых счетов» - Создать.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Аналитический лицевой счет может иметь 20-25 значный номер в зависимости от необходимости использования порядковых номеров.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программы позволяет устанавливать отбор по счетам второго порядка.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7262" cy="3139440"/>
            <wp:effectExtent l="0" t="0" r="0" b="0"/>
            <wp:docPr id="4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262" cy="313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Аналитический учет – это учет, который ведется в лицевых, материальных и иных аналитических счетах учета, группирующих детальную информацию об имуществе, обязательствах и хозяйственных операциях внутри каждого синтетического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Карточка счета отображена на рисунке 54.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0238" cy="4991485"/>
            <wp:effectExtent l="0" t="0" r="0" b="0"/>
            <wp:docPr id="4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4991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содержит следующие данные: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счета – генерируется автоматически после записи элемента по заполненным реквизитам формы;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– компания, для которой открыт новый счет учета;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Подразделение - подразделение организации, для которого открыт счет учета;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финансового учета – группа финансового учета, для которой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 доверительного управления – выбирается из: 0 – собственные операции, 1 – операции нeкредитных финансовых организаций – учредителей управления, 2 – операции нeкредитных финансовых организаций, выполняющих по договорам доверительного управления функции доверительных управляющих;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Валюта – валюта расчетов для идентификации признака рубля или кода иностранной валюты в маске счета из справочника Валюты;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Произвольная часть номера - часть номера лицевого счета, генерируемая системой (кроме обязательных символов);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Шаблон открытия - шаблон, который использовался для открытия данного лицевого счета;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аналитика счета - комбинация аналитик, для которой открыт лицевой счет;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Выгружается в БП - признак того, что движения по данному счету будут выгружены в Бухгалтерскую программу.</w:t>
      </w:r>
    </w:p>
    <w:p w:rsidR="008B3A04" w:rsidRDefault="004377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карточка лицевого счета содержит информацию об операции открытия и закрытия лицевого счета.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учета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Парные лицевые счета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 «Парные лицевые счета»хранит пары лицевых счетов и признак необходимости их сворачивать.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сведений заполняется при проведении документа «Открытие счетов аналитического учета».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54297" cy="3199130"/>
            <wp:effectExtent l="0" t="0" r="0" b="0"/>
            <wp:docPr id="4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297" cy="319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55.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 «Парные счета учета» заполняется при начальной настройки системы и может быть отредактирован вручную.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99280" cy="1701800"/>
            <wp:effectExtent l="0" t="0" r="0" b="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28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56.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Соответствие счетов СПОД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хранения информации о соответствии счетов учета финансового результата прошлого года и счетов учета финансового результата прошлого года (счетов учета СПОД) предназначен регистр сведений «Соответствие счетов СПОД».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Счета СПОД – используется для определения счета отражения событий после отчетной даты.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6327" cy="1379220"/>
            <wp:effectExtent l="0" t="0" r="0" b="0"/>
            <wp:docPr id="4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327" cy="137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57.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 сведений заполняется при проведении документа Открытие счетов аналитического учета.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198074" cy="2230938"/>
            <wp:effectExtent l="0" t="0" r="0" b="0"/>
            <wp:docPr id="4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074" cy="223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58.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Группы настроек ЗП в регламентированном учете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 позволяет произвольно группировать виды операций по зарплате и задавать один порядок отражения в регламентированном учете на группу.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2119" cy="2988034"/>
            <wp:effectExtent l="0" t="0" r="0" b="0"/>
            <wp:docPr id="4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19" cy="298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59.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Группы операций по учету зарплаты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Группы операций по учету зарплаты предопределены системой, но могут быть добавлены вручную.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187" cy="1742440"/>
            <wp:effectExtent l="0" t="0" r="0" b="0"/>
            <wp:docPr id="4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187" cy="174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60.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Маппинг разрезов лицевых счетов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Маппинг разрезов лицевых счетов позволяет задавать соответствия для видов вознаграждений и видов начислений и необходим для формирования движений по начислению зарплаты.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Маппинг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определение соответствия данных между потенциально различными семантиками первого объекта 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разных объектов.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Дополнительное функциональное свойство маппинга разрезов лицевых счетов обеспечение гибкой настройки при ведении учета на двух уровнях иерархии.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613702" cy="3089022"/>
            <wp:effectExtent l="0" t="0" r="0" b="0"/>
            <wp:docPr id="3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702" cy="3089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Настройки отражения зарплаты в регламентированном учете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0229" cy="2270125"/>
            <wp:effectExtent l="0" t="0" r="0" b="0"/>
            <wp:docPr id="2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229" cy="227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– компания, для которой будет действовать данная настройка, если эту вкладку не заполнять, то настройка будет действовать для всех организаций;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Подразделение – указывается подразделение организации, для которого нужна настройка;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операции – выбирается из: Виды операций по зарплате, Виды сводных операций по зарплате, Группы операций по учету зарплаты;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учета Дт, Кт – указывается счет второго порядка.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tabs>
          <w:tab w:val="left" w:pos="34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89940" cy="2706370"/>
            <wp:effectExtent l="0" t="0" r="0" b="0"/>
            <wp:docPr id="29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40" cy="270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63.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желании можно указать лицевые счета и аналитику только для счета Дебета или только для счета Кредита, а также для обоих счетов.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Формирование движений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Движения по единому плану счетов формируются автоматически при проведении документов по начислению или выплате зарплаты, а также операциям по налогам.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91762" cy="2804795"/>
            <wp:effectExtent l="0" t="0" r="0" b="0"/>
            <wp:docPr id="3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762" cy="280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Дополнительные возможности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документе Начисления зарплаты и взносов есть возможность настроить распределение НДФЛ по лицевым счетам сотрудников. Мы можем распределить сумму по разным счетам или оставить ее на одном.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1159" cy="1119805"/>
            <wp:effectExtent l="0" t="0" r="0" b="0"/>
            <wp:docPr id="3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159" cy="111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65.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6179" cy="2019300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179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Рисунок 66.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1562100</wp:posOffset>
                </wp:positionV>
                <wp:extent cx="438785" cy="12700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6608" y="3780000"/>
                          <a:ext cx="4387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C3F4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12pt;margin-top:123pt;width:34.5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1574800</wp:posOffset>
                </wp:positionV>
                <wp:extent cx="12700" cy="332509"/>
                <wp:effectExtent l="0" t="0" r="0" b="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3746"/>
                          <a:ext cx="0" cy="33250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003FF" id="Прямая со стрелкой 3" o:spid="_x0000_s1026" type="#_x0000_t32" style="position:absolute;margin-left:246pt;margin-top:124pt;width:1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1574800</wp:posOffset>
                </wp:positionV>
                <wp:extent cx="12700" cy="332105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3948"/>
                          <a:ext cx="0" cy="33210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B7C96" id="Прямая со стрелкой 2" o:spid="_x0000_s1026" type="#_x0000_t32" style="position:absolute;margin-left:212pt;margin-top:124pt;width:1pt;height:2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1892300</wp:posOffset>
                </wp:positionV>
                <wp:extent cx="439387" cy="12700"/>
                <wp:effectExtent l="0" t="0" r="0" b="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26307" y="3780000"/>
                          <a:ext cx="43938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6EAAF" id="Прямая со стрелкой 4" o:spid="_x0000_s1026" type="#_x0000_t32" style="position:absolute;margin-left:212pt;margin-top:149pt;width:34.6pt;height: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" strokecolor="#4a7dba">
                <v:stroke startarrowwidth="narrow" startarrowlength="short" endarrowwidth="narrow" endarrowlength="short"/>
              </v:shape>
            </w:pict>
          </mc:Fallback>
        </mc:AlternateConten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видах документов Ведомость на выплату зарплаты при нажатии на ссылку периода, за который будет выплачена заработная плата, открывается форма «Редактирование заработной платы сотрудника».</w:t>
      </w:r>
    </w:p>
    <w:p w:rsidR="008B3A04" w:rsidRDefault="008B3A04">
      <w:pPr>
        <w:spacing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данном документе функционал программы позволяет выбрать конкретный счет, с которого будет выплачена заработная плата, а также вручную отредактировать сумму к выплате.</w:t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5027" cy="1790911"/>
            <wp:effectExtent l="0" t="0" r="0" b="0"/>
            <wp:docPr id="3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027" cy="1790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67.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Отражение зарплаты в регламентированном учете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предназначен для формирования пула проводок, выгружаемых в бухгалтерскую программу.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может быть заполнен автоматически по кнопке “Заполнить” или вручную.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шапке документа заполняется организация и подразделение, по которым будут отбираться проводки.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поле Подразделение не заполнено, то проводки заполняются для всех подразделений.</w:t>
      </w: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заполняются по периоду ведения учета – месяц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за произвольный период.</w:t>
      </w:r>
    </w:p>
    <w:p w:rsidR="008B3A04" w:rsidRDefault="008B3A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/>
        </w:rPr>
        <w:drawing>
          <wp:inline distT="0" distB="0" distL="0" distR="0">
            <wp:extent cx="5560238" cy="3635541"/>
            <wp:effectExtent l="0" t="0" r="0" b="0"/>
            <wp:docPr id="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3635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68.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Закрытие авансов отпусков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Документ предназначен для ручного закрытия остатка на счетах учет  авансов отпусков. </w:t>
      </w:r>
    </w:p>
    <w:p w:rsidR="008B3A04" w:rsidRDefault="00437752">
      <w:pPr>
        <w:spacing w:after="10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Если документ не сформирован остаток будет списываться документом Начисление оценочных обязательств ежемесячно до полного закрытия взаиморасчетов.</w:t>
      </w: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6552" cy="1379744"/>
            <wp:effectExtent l="0" t="0" r="0" b="0"/>
            <wp:docPr id="3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552" cy="1379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10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69</w:t>
      </w:r>
    </w:p>
    <w:p w:rsidR="008B3A04" w:rsidRDefault="008B3A04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Мемориальный ордер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это учетный документ, который указывает корреспонденцию счетов </w:t>
      </w:r>
      <w:hyperlink r:id="rId77">
        <w:r>
          <w:rPr>
            <w:rFonts w:ascii="Times New Roman" w:eastAsia="Times New Roman" w:hAnsi="Times New Roman" w:cs="Times New Roman"/>
            <w:sz w:val="24"/>
            <w:szCs w:val="24"/>
          </w:rPr>
          <w:t>аналитического учета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в который должна быть записана операция.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Каждому мемориальному ордеру присваивается постоянный номер.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при проведении операций в национальной и иностранной валютах.</w:t>
      </w:r>
    </w:p>
    <w:p w:rsidR="008B3A04" w:rsidRDefault="004377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Мемориальный ордер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должен содержать следующие обязательные реквизиты: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номер мемориального ордера;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дату;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 дебета;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 кредита;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дебета;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Лицевой счет кредита;</w:t>
      </w:r>
    </w:p>
    <w:p w:rsidR="008B3A04" w:rsidRDefault="004377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Сумма.</w:t>
      </w:r>
    </w:p>
    <w:p w:rsidR="008B3A04" w:rsidRDefault="008B3A04">
      <w:pPr>
        <w:spacing w:after="10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10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Регламентная операция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предназначен для отражения операций закрытия периода. Операции закрытия периода проводят ежемесячно, либо в конце года, в зависимости от вида операции. Важно соблюдать последовательность выполнения регламентных операций.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Виды регламентных операций: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свертка парных счетов, перенос остатков доходов расходов на счета СПОД.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9099" cy="2424145"/>
            <wp:effectExtent l="0" t="0" r="0" b="0"/>
            <wp:docPr id="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099" cy="242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70.</w:t>
      </w:r>
    </w:p>
    <w:p w:rsidR="008B3A04" w:rsidRDefault="008B3A0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Отчеты</w:t>
      </w: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Карточка счета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карточке счета представляет собой стандартный отчет с предельной степенью детализации – до проводки. Сформированный отчет представляет собой упорядоченную по датам выборку информации о проводках, которые относятся к выбранному периоду и в которых был использован выбранный счет.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выводится в виде таблицы, каждая строка которой соответствует одной проводке. В таблице выводится итоговая информация: начальный остаток по выбранному счету, а также конечный остаток и итоговые обороты.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78059" cy="2438400"/>
            <wp:effectExtent l="0" t="0" r="0" b="0"/>
            <wp:docPr id="2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71.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Оборотно-сальдовая ведомость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Отчет по оборотно-сальдовой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ведомости формируется в виде таблицы, по каждой строке которой выведена информация, относящаяся к определенному счету аналитического учета, открытого к балансовому счету второго порядка. Счета упорядочены в порядке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возрастания номеров. Для каждого счета учета в таблице показаны суммы остатков на начало и на конец периода (дебетового и кредитового) и суммы оборотов по дебету и кредиту за установленный период.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89940" cy="2557338"/>
            <wp:effectExtent l="0" t="0" r="0" b="0"/>
            <wp:docPr id="2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40" cy="2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72.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Оборотно-сальдовую ведомость можно сформировать на разных уровнях детализации:</w:t>
      </w:r>
    </w:p>
    <w:p w:rsidR="008B3A04" w:rsidRDefault="00437752">
      <w:pPr>
        <w:numPr>
          <w:ilvl w:val="0"/>
          <w:numId w:val="6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субсчета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лицевые 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сводные лицевые счета</w:t>
      </w:r>
    </w:p>
    <w:p w:rsidR="008B3A04" w:rsidRDefault="00437752">
      <w:pPr>
        <w:numPr>
          <w:ilvl w:val="0"/>
          <w:numId w:val="5"/>
        </w:numP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счета СПОД.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2403392"/>
            <wp:effectExtent l="0" t="0" r="0" b="0"/>
            <wp:docPr id="4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73.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Оборотно-сальдовая ведомость по счету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показывает начальные и конечные остатки, а также обороты за период выбранного счета.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счетов, по которым ведется аналитический учет, можно получить остатки и обороты раздельно по объектам аналитического учета (субконто), по организациям.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Данные вводятся с дополнительной разбивкой по заданным периодам (можно выбрать любой период).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560238" cy="3009071"/>
            <wp:effectExtent l="0" t="0" r="0" b="0"/>
            <wp:docPr id="4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300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74.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Обмен данными</w:t>
      </w:r>
    </w:p>
    <w:p w:rsidR="008B3A04" w:rsidRDefault="008B3A0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Реализован обмен с конфигурацией 1С:Бухгалтерия Некредитной Финансовой Организации (БНФО), а также конфигурациями, разработанными на базе БФНО – 1С:МФО и КПК, УФСО и др.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автоматического обмена необходимо создать настройку в разделе Администрирование-&gt;Синхронизация данных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возможности создания настройки синхронизации должен быть установлен флаг «Синхронизация данных», как показано на рисунке 62.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Затем перейдите в меню «Настройки синхронизации данных». Выберите команду «Настроить синхронизацию данных» -&gt;Бухгалтерия предприятия, ред .3 (рис. 63)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49885" cy="3381033"/>
            <wp:effectExtent l="0" t="0" r="0" b="0"/>
            <wp:docPr id="5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885" cy="3381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75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5940425" cy="2397874"/>
            <wp:effectExtent l="0" t="0" r="0" b="0"/>
            <wp:docPr id="5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76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предложит указать настройки синхронизации вручную, либо загрузить из файла.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 можете выбрать вариант подключения: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Прямое подключение к программе на этом локальном компьютере или в сети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Прямое подключение к программе через интернет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Другие каналы связи.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другим каналам связи относятся сетевой каталог, FTP-сервере, электронная почта. Обмен через дополнительные каналы связи осуществляется путем формирования файла выгрузки. Полученный файл дополнительно необходимо загрузить в базу-приемник.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78059" cy="2861385"/>
            <wp:effectExtent l="0" t="0" r="0" b="0"/>
            <wp:docPr id="5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059" cy="286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77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настройки параметров подключения, необходимо установить настройки отбора и выгрузки данных.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ссылке «Изменить правила выгрузки данных» можно установить: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отбор по организации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дату начала выгрузки данных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длину кода счета базе-приемнике (обратите ВНИМАНИЕ, что в программе БНФО допускается длина кода счета не более 5 символов).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настроить правила отбора лицевых счетов, которые будут считаться исключением. Лицевые счета, попадающие в отбор для исключений, НЕ будут выгружаться в бухгалтерскую программу.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566179" cy="4674352"/>
            <wp:effectExtent l="0" t="0" r="0" b="0"/>
            <wp:docPr id="5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179" cy="4674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78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ВНИМАНИЕ! После завершения настройки синхронизации в настройку на стороне ЗУП НФО необходимо загрузить дополнительные правила обмена.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Дополнительные правила обмена ЗУП НФО хранятся в каталоге шаблона информационной базы.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загрузки дополнительных правил необходимо в карточке настройки синхронизации данных необходимо наж</w:t>
      </w:r>
      <w:r w:rsidR="004B09CE">
        <w:rPr>
          <w:rFonts w:ascii="Times New Roman" w:eastAsia="Times New Roman" w:hAnsi="Times New Roman" w:cs="Times New Roman"/>
          <w:sz w:val="24"/>
          <w:szCs w:val="24"/>
        </w:rPr>
        <w:t>ать кнопку «Загрузить правила».</w:t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Установить переключатель на настройку «Из файла на компьютере» и указать путь </w:t>
      </w:r>
      <w:r w:rsidR="004B09CE">
        <w:rPr>
          <w:rFonts w:ascii="Times New Roman" w:eastAsia="Times New Roman" w:hAnsi="Times New Roman" w:cs="Times New Roman"/>
          <w:sz w:val="24"/>
          <w:szCs w:val="24"/>
        </w:rPr>
        <w:t>к архиву «Правила ЗУП НФО.zip».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ВНИМАНИЕ! В бухгалтерской программе в настройку синхронизации данных необходимо загрузить дополнительные правила из архива «Правила БНФО.zip»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выполнения обмена данными нажмите кнопку «Синхронизировать» в карточке настройки синхронизации.</w:t>
      </w:r>
    </w:p>
    <w:p w:rsidR="008B3A04" w:rsidRPr="004B09CE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940425" cy="4100481"/>
            <wp:effectExtent l="0" t="0" r="0" b="0"/>
            <wp:docPr id="5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B09CE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4B09CE">
        <w:rPr>
          <w:rFonts w:ascii="Times New Roman" w:eastAsia="Times New Roman" w:hAnsi="Times New Roman" w:cs="Times New Roman"/>
          <w:sz w:val="24"/>
          <w:szCs w:val="24"/>
          <w:lang w:val="ru-RU"/>
        </w:rPr>
        <w:t>79</w:t>
      </w:r>
    </w:p>
    <w:p w:rsidR="008B3A04" w:rsidRDefault="008B3A04" w:rsidP="00187BD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457143" cy="4609524"/>
            <wp:effectExtent l="0" t="0" r="0" b="0"/>
            <wp:docPr id="5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46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80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! Для корректной синхронизации данных между конфигурациями ЗУП НФО и 1С:БФНО (или конфигурации, разработанной на базе БНФО) должны быть соблюдены следующие условия: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совпадать вид счет, признаки валютного, налогового учета и учета по подразделениям для сопоставляемых счетов учета</w:t>
      </w: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Операции по группам счетов учета 202 и 205 не выгружаются в бухгалтерскую программу, поскольку эти движения будут сформированы документами Расходный кассовый ордер/Списание с расчетного счета.</w:t>
      </w:r>
    </w:p>
    <w:p w:rsidR="008B3A04" w:rsidRDefault="0043775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совпадать виды субконто и признаки учета субконто для сопоставляемых счетов учета.</w:t>
      </w: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Допускается исключение, когда в бухгалтерской программе для счетов учета могут быть добавлены виды субконто, которые не предусмотрены в ЗУП НФО.</w:t>
      </w:r>
    </w:p>
    <w:p w:rsidR="008B3A04" w:rsidRDefault="0043775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тем, что в БНФО допускается длина счета не более 5-ти символов, то если в ЗУП НФО используются счета второго порядка - при синхронизации данных они будут объединены в один счет учета.</w:t>
      </w: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шаблоны открытия ЛС для счетов второго порядка будут объединены в один шаблон.</w:t>
      </w:r>
    </w:p>
    <w:p w:rsidR="008B3A04" w:rsidRDefault="004377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связи с этим, для корректного объединения шаблонов открытия лицевых счетов в шаблоне для каждого счета второго порядка должны быть указаны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все возможные виды аналитик для счета верхнего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B3A04" w:rsidRDefault="008B3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04" w:rsidRDefault="0043775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о возникновении конфликтов при сопоставлении данных добавляется в Журнал Регистрации.</w:t>
      </w:r>
    </w:p>
    <w:sectPr w:rsidR="008B3A04">
      <w:footerReference w:type="default" r:id="rId89"/>
      <w:pgSz w:w="11906" w:h="16838"/>
      <w:pgMar w:top="1134" w:right="850" w:bottom="993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457" w:rsidRDefault="00183457">
      <w:pPr>
        <w:spacing w:after="0" w:line="240" w:lineRule="auto"/>
      </w:pPr>
      <w:r>
        <w:separator/>
      </w:r>
    </w:p>
  </w:endnote>
  <w:endnote w:type="continuationSeparator" w:id="0">
    <w:p w:rsidR="00183457" w:rsidRDefault="00183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653" w:rsidRDefault="007D6653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187BDE">
      <w:rPr>
        <w:rFonts w:ascii="Times New Roman" w:eastAsia="Times New Roman" w:hAnsi="Times New Roman" w:cs="Times New Roman"/>
        <w:noProof/>
      </w:rPr>
      <w:t>50</w:t>
    </w:r>
    <w:r>
      <w:rPr>
        <w:rFonts w:ascii="Times New Roman" w:eastAsia="Times New Roman" w:hAnsi="Times New Roman" w:cs="Times New Roman"/>
      </w:rPr>
      <w:fldChar w:fldCharType="end"/>
    </w:r>
  </w:p>
  <w:p w:rsidR="007D6653" w:rsidRDefault="007D6653">
    <w:pPr>
      <w:tabs>
        <w:tab w:val="center" w:pos="4677"/>
        <w:tab w:val="right" w:pos="9355"/>
      </w:tabs>
      <w:spacing w:after="720" w:line="240" w:lineRule="auto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457" w:rsidRDefault="00183457">
      <w:pPr>
        <w:spacing w:after="0" w:line="240" w:lineRule="auto"/>
      </w:pPr>
      <w:r>
        <w:separator/>
      </w:r>
    </w:p>
  </w:footnote>
  <w:footnote w:type="continuationSeparator" w:id="0">
    <w:p w:rsidR="00183457" w:rsidRDefault="00183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052"/>
    <w:multiLevelType w:val="multilevel"/>
    <w:tmpl w:val="313050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D44DF5"/>
    <w:multiLevelType w:val="multilevel"/>
    <w:tmpl w:val="E4CC0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9504051"/>
    <w:multiLevelType w:val="multilevel"/>
    <w:tmpl w:val="44DC38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CD4A84"/>
    <w:multiLevelType w:val="multilevel"/>
    <w:tmpl w:val="C8BC68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105D8F"/>
    <w:multiLevelType w:val="multilevel"/>
    <w:tmpl w:val="04D0D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2762644"/>
    <w:multiLevelType w:val="multilevel"/>
    <w:tmpl w:val="935EE1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DE4800"/>
    <w:multiLevelType w:val="multilevel"/>
    <w:tmpl w:val="C6CAC5A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9A529A3"/>
    <w:multiLevelType w:val="multilevel"/>
    <w:tmpl w:val="20C2F76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0D26B9"/>
    <w:multiLevelType w:val="multilevel"/>
    <w:tmpl w:val="A02AE05C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233536D"/>
    <w:multiLevelType w:val="multilevel"/>
    <w:tmpl w:val="AC4A0D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982B46"/>
    <w:multiLevelType w:val="multilevel"/>
    <w:tmpl w:val="C9D81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AFF6534"/>
    <w:multiLevelType w:val="multilevel"/>
    <w:tmpl w:val="9AB8E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F2761B0"/>
    <w:multiLevelType w:val="multilevel"/>
    <w:tmpl w:val="EA7893D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2"/>
  </w:num>
  <w:num w:numId="9">
    <w:abstractNumId w:val="12"/>
  </w:num>
  <w:num w:numId="10">
    <w:abstractNumId w:val="3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04"/>
    <w:rsid w:val="000868FB"/>
    <w:rsid w:val="00183457"/>
    <w:rsid w:val="00187BDE"/>
    <w:rsid w:val="00385012"/>
    <w:rsid w:val="00437752"/>
    <w:rsid w:val="004B09CE"/>
    <w:rsid w:val="006F2BE5"/>
    <w:rsid w:val="007D3DC4"/>
    <w:rsid w:val="007D6653"/>
    <w:rsid w:val="008B3A04"/>
    <w:rsid w:val="00EA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6F9FA3"/>
  <w15:docId w15:val="{FEBDA41D-1009-46E8-A7E5-8892B39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m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yperlink" Target="https://ru.wikipedia.org/wiki/%D0%91%D1%83%D1%85%D0%B3%D0%B0%D0%BB%D1%82%D0%B5%D1%80%D1%81%D0%BA%D0%B8%D0%B9_%D1%83%D1%87%D1%91%D1%82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mailto:support@ads-soft.ru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51</Pages>
  <Words>5660</Words>
  <Characters>32264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Menyaylova</dc:creator>
  <cp:lastModifiedBy>Мария</cp:lastModifiedBy>
  <cp:revision>4</cp:revision>
  <dcterms:created xsi:type="dcterms:W3CDTF">2019-09-23T12:27:00Z</dcterms:created>
  <dcterms:modified xsi:type="dcterms:W3CDTF">2022-05-24T11:27:00Z</dcterms:modified>
</cp:coreProperties>
</file>